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Нефрология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Нефрология | Записей: 1 | Кейс: 1 | Вопросов: 12</w:t>
      </w:r>
    </w:p>
    <w:p>
      <w:r>
        <w:br w:type="page"/>
      </w:r>
    </w:p>
    <w:p>
      <w:pPr>
        <w:pStyle w:val="Heading1"/>
      </w:pPr>
      <w:r>
        <w:t>Нефрология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60 лет поступил в нефрологическое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выраженную слабость, боли в позвоночнике, уменьшение роста на 3 см за последний год, повышение артериального давления.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пациента 7 лет назад был диагностирован хронический гломерулонефрит с развитием нефротического синдрома и транзиторным нарушением функции почек, нефробиопсия не проводилась. Была проведена активная иммуносупрессивная терапия: преднизолон 60 мг/сут, сеансы сочетанной «пульс - терапии» преднизолоном и циклофосфамидом в течение 6 месяцев с эффектом. Был купирован нефротический синдром, нормализовалась функция почек. В дальнейшем сохранялась ремиссия нефрита, АД контролировалось приемом эналаприла.</w:t>
      </w:r>
    </w:p>
    <w:p>
      <w:pPr>
        <w:spacing w:after="58"/>
      </w:pPr>
      <w:r>
        <w:rPr>
          <w:b w:val="0"/>
          <w:i w:val="0"/>
        </w:rPr>
        <w:t>В течение последнего года без видимых причин появились и стали нарастать вышеуказанные жалобы. Боли в позвоночнике расценивались как проявление остеопороза.</w:t>
      </w:r>
    </w:p>
    <w:p>
      <w:pPr>
        <w:spacing w:after="58"/>
      </w:pPr>
      <w:r>
        <w:rPr>
          <w:b w:val="0"/>
          <w:i w:val="0"/>
        </w:rPr>
        <w:t>При амбулаторном обследовании месяц назад в анализах отмечается нарастание протеинурии до 2 г/сут, повышение уровня креатинина до 150 мкмоль/л, впервые выявлена анемия (Нв 110 г/л).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заболевания, операции: хронический холецистит, год назад перелом правой подвздошной кости</w:t>
      </w:r>
    </w:p>
    <w:p>
      <w:pPr>
        <w:spacing w:after="58"/>
      </w:pPr>
      <w:r>
        <w:rPr>
          <w:b w:val="0"/>
          <w:i w:val="0"/>
        </w:rPr>
        <w:t>* Наследственность: не отягощена</w:t>
      </w:r>
    </w:p>
    <w:p>
      <w:pPr>
        <w:spacing w:after="58"/>
      </w:pPr>
      <w:r>
        <w:rPr>
          <w:b w:val="0"/>
          <w:i w:val="0"/>
        </w:rPr>
        <w:t>* Вредных привычек не имеет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175 см. Вес 70 кг, ИМТ 22,9 кг/м2.</w:t>
      </w:r>
    </w:p>
    <w:p>
      <w:pPr>
        <w:spacing w:after="58"/>
      </w:pPr>
      <w:r>
        <w:rPr>
          <w:b w:val="0"/>
          <w:i w:val="0"/>
        </w:rPr>
        <w:t>Кожные покровы бледные, сухие, отеков нет. При аускультации легких дыхание везикулярное, хрипов нет. ЧДД 18 в мин. Тоны сердца ясные, ритмичные, шумов нет. ЧСС 72 уд/мин, дефицита пульса нет. АД 140/80 мм рт. ст. Живот мягкий, безболезненный при пальпации во всех отделах. Печень не увеличена, размеры по Курлову 10-8-7 см, пальпируется у края реберной дуги. Стул – норма. Поколачивание по поясничной области безболезненное с обеих сторон. Мочеиспускание безболезненное, дизурии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Лабораторными методами обследования, в первую очередь необходимыми для постановки диагноза,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ортостатическая проба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мочи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электрофорез и иммуноэлектрофорез (иммунофиксация) белков сыворотки крови и мочи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посев крови на стерильность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общий анализ мочи; биохимический анализ крови; электрофорез и иммуноэлектрофорез (иммунофиксация) белков сыворотки крови и мочи; общий анализ крови</w:t>
      </w:r>
    </w:p>
    <w:p>
      <w:pPr>
        <w:ind w:left="504"/>
      </w:pPr>
      <w:r>
        <w:rPr>
          <w:b w:val="0"/>
          <w:i/>
        </w:rPr>
        <w:t>Протеинурия более 3,0 г/сут (у детей более 50 мг/кг в сутки, или более 1000 мг/м2, отношение белка к креатинину мочи более 2,0 мг/мл).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пациента с хроническим заболеванием почек необходимо обращать внимание в первую очередь на признаки, характеризующие фильтрационную функцию почек (сывороточная концентрация креатинина), и уровень калия в сыворотке крови, рост которого может стать показанием к выполнению экстренного ГД.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Рекомендуемые методы скрининга: исследование сыворотки крови и мочи (иммуноэлектрофорез, иммунофиксация). У больных с нефропатией при отрицательных результатах целесообразно определение содержания свободных легких цепей в сыворотке крови.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выполнить электрофорез и иммунофиксация белков суточной мочи с количественным определением уровня моноклонального белка, определение β2-микроглобулина в сыворотке.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 пациента выявлены высокая протеинурия без развития нефротического синдрома, гиперпротеинемия, резко ускоренная СОЭ, анемия, почечная недостаточность, оссалгии, переломы, что дает основание предполагает возможность развития миеломы.</w:t>
        <w:br/>
        <w:br/>
        <w:t>С целью выявления плазмаклеточной дискразии целесообразно проведение данному пациенту иммунохимического исследования белков сыворотки крови и мочи</w:t>
      </w:r>
    </w:p>
    <w:p>
      <w:pPr>
        <w:ind w:left="504"/>
      </w:pPr>
      <w:r>
        <w:rPr>
          <w:b w:val="0"/>
          <w:i/>
        </w:rPr>
        <w:t>Для ХПН типична гипохромная анемия.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Увеличение СОЭ и гематокрита - признаки нарастающего сгущения крови при гиповолемическом варианте нефротического синдрома. При увеличении СОЭ, не сочетающемся с нефротическим синдромом, у пациента с клиническими признаками гломерулонефрита необходимо исключить его вторичный (паранеопластический синдром, множественную миелому, паратуберкулёзное поражение почек) генез</w:t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цистоскопия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ультразвуковое исследование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рентгенологическое исследование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обзорный снимок органов мочевой системы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экскреторная внутривенная урография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урофлоуметрия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ультразвуковое исследование почек; рентгенологическое исследование костей</w:t>
      </w:r>
    </w:p>
    <w:p>
      <w:pPr>
        <w:ind w:left="504"/>
      </w:pPr>
      <w:r>
        <w:rPr>
          <w:b w:val="0"/>
          <w:i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при установке диагноза ММ перед началом терапии, при оценке эффекта терапии, а также при подозрении на рецидив заболевания при невозможности выполнить КТ рекомендуется выполнить рентгенологическое исследование костей: рентгенографию (включая череп, грудную клетку, все отделы позвоночника, таз, плечевые и бедренные кости) для уточнения наличия и распространенности поражения костей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уточнения степени плазматизации костного мозга пациенту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β2-микроглобулина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стернальную пункцию с оценкой миелограммы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сцинтиграфическое исследование костей скелета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позитронно-эмиссионную томографию скелета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стернальную пункцию с оценкой миелограммы</w:t>
      </w:r>
    </w:p>
    <w:p>
      <w:pPr>
        <w:ind w:left="504"/>
      </w:pPr>
      <w:r>
        <w:rPr>
          <w:b w:val="0"/>
          <w:i/>
        </w:rPr>
        <w:t>Всем пациентам с подозрением на ММ или выявленной ММ при первичном приеме, при контрольных обследованиях и при подозрении на рецидив заболевания рекомендуется выполнить получение цитологического препарата КМ путем пункции (стернальная пункция), цитологическое (миелограмма) и иммунофенотипическое (методом проточной цитофлуориметрии) исследование мазка КМ для подтверждения и формулирования диагноза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оценки степени гуморального иммунодефицита пациенту показано исследование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уровня С-реактивного протеина в сыворотке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сывороточного уровня белка SAA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уровня β2-микроглобулина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уровня поликлональных иммуноглобулинов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уровня поликлональных иммуноглобулинов в крови</w:t>
      </w:r>
    </w:p>
    <w:p>
      <w:pPr>
        <w:ind w:left="504"/>
      </w:pPr>
      <w:r>
        <w:rPr>
          <w:b w:val="0"/>
          <w:i/>
        </w:rPr>
        <w:t>Рекомендуется выполнить определение уровня Ig сыворотки крови для оценки степени гуморального иммунодефицита. Необходимо как при первичной диагностике, так и при констатации рецидива и/или прогрессирования.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Помимо высокой секреции моноклонального IgGκ и высокой экскреции с мочой белка Бенс-Джонса κ типа у пациента выявлено в костном мозге 45% κ-положительных плазмацитов, что наряду с клинической картиной позволяет диагностировать у больного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Болезнь Кастлемана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Множественную миелому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лимфолейкоз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Лимфому Ходжкина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Множественную миелому</w:t>
      </w:r>
    </w:p>
    <w:p>
      <w:pPr>
        <w:ind w:left="504"/>
      </w:pPr>
      <w:r>
        <w:rPr>
          <w:b w:val="0"/>
          <w:i/>
        </w:rPr>
        <w:t>Характерные признаки миеломной болезни:</w:t>
        <w:br/>
        <w:br/>
        <w:t>Тлеющая (асимптоматическая) миелома:</w:t>
        <w:br/>
        <w:br/>
        <w:t>* Моноклональный протеин в сыворотке крови ≥30 г/л и/или 500 мг в суточном анализе мочи и/или 10−59 % клональных плазматических клеток в костном мозге.</w:t>
        <w:br/>
        <w:br/>
        <w:t>* Отсутствие органных поражений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Симптоматическая множественная миелома</w:t>
        <w:br/>
        <w:br/>
        <w:t>* количество клональных плазмоцитов в костном мозге &gt;60 %</w:t>
        <w:br/>
        <w:br/>
        <w:t>* ненормальное соотношение свободных легких цепей: κ/λ≥100 (клональность по κ) или κ/λ ≤0,01(клональность по λ)</w:t>
        <w:br/>
        <w:br/>
        <w:t>* обнаруживается характерное для миеломной болезни пазушное рассасывание кости</w:t>
        <w:br/>
        <w:br/>
        <w:t>* характерные клинические проявления (CRAB-синдром)-гиперкальциемия, почечная недостаточность, анемия, остеолизис)</w:t>
        <w:br/>
        <w:br/>
      </w:r>
      <w:hyperlink r:id="rId2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У пациента выявлены высокая протеинурия без развития нефротического синдрома, гиперпротеинемия, резко ускоренная СОЭ, анемия, почечная недостаточность, гиперкальциемия, оссалгии, очаги лизиса и переломы костей, что в совокупности высокой секрецией моноклонального IgGκ и высокой экскрецией с мочой белка Бенс-Джонса κ типа, высокой плазматизацией костного мозга позволяет диагностировать множественную миелому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Дифференциальный диагноз поражения почек при множественной миеломе необходимо проводить между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хроническим гломерулонефритом, почечной тромботической микроангиопатией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миеломной нефропатией, AL–амилоидозом, болезнью отложения легких цепей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почечным иммуноглобулин А васкулитом, иммунокомплексным гломерулонефритом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хроническим обструктивным и необструктивным пиелонефритом, абсцессом почки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миеломной нефропатией, AL–амилоидозом, болезнью отложения легких цепей</w:t>
      </w:r>
    </w:p>
    <w:p>
      <w:pPr>
        <w:ind w:left="504"/>
      </w:pPr>
      <w:r>
        <w:rPr>
          <w:b w:val="0"/>
          <w:i/>
        </w:rPr>
        <w:t>Дифференциальный диагноз поражения почек при множественной миеломе проводят, прежде всего, между миеломной нефропатией (cast-нефропатией), AL–амилоидозом, болезнью отложения легких цепей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Поражение почек у данного пациента наиболее вероятно обусловлено развитием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AА-амилоидоза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миеломной (cast) нефропатии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AL-амилоидоза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болезни отложения легких цепей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миеломной (cast) нефропатии</w:t>
      </w:r>
    </w:p>
    <w:p>
      <w:pPr>
        <w:ind w:left="504"/>
      </w:pPr>
      <w:r>
        <w:rPr>
          <w:b w:val="0"/>
          <w:i/>
        </w:rPr>
        <w:t>Диагноз миеломной нефропатии устанавливается на основании</w:t>
        <w:br/>
        <w:br/>
        <w:t>* наличия множественной миеломы и</w:t>
        <w:br/>
        <w:br/>
        <w:t>* быстропрогрессирующей почечной недостаточности</w:t>
        <w:br/>
        <w:br/>
        <w:t>* канальцевого характера протеинурии</w:t>
        <w:br/>
        <w:br/>
        <w:t>* секреции моноклональных легких цепей, выявляемой при иммунохимическом исследовании крови и мочи</w:t>
        <w:br/>
        <w:br/>
        <w:t>* исследования биоптата почки методом световой и иммунофлуоресцентной микроскопии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Риск развития миеломной нефропатии увеличивается при концентрации моноклональных свободных легких цепей в сыворотке более 500-1000 мг/л, количестве белка Бенс-Джонса в моче более 2 г/сутки.</w:t>
        <w:br/>
        <w:br/>
      </w:r>
      <w:hyperlink r:id="rId26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При доказанной множественной миеломе, высокой концентрации моноклональных ЛЦ в сыворотке и/или в моче, канальцевом характере протеинурии диагноз миеломной нефропатии высоко вероятен, и выполнение биопсии почки не требуется.</w:t>
        <w:br/>
        <w:br/>
      </w:r>
      <w:hyperlink r:id="rId27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Таким образом, у пациента с ранее имевшим место заболеванием почек на текущий момент доказана множественная миелома с высокой секрецией моноклональных легких цепей, высоким уровнем белка Бенс-Джонса в моче, в этой связи с высокой вероятностью можно утверждать, что наблюдающаяся сейчас картина поражения почек с быстропрогрессирующей почечной недостаточностью обусловлена развитием миеломной нефропатии (сast-нефропатии).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Клон-ориентированная терапия миеломы должна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гематологическом стационаре с отделением диализа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амбулаторно гематологом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нефрологическом стационаре с отделением диализа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амбулаторно нефрологом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гематологическом стационаре с отделением диализа</w:t>
      </w:r>
    </w:p>
    <w:p>
      <w:pPr>
        <w:ind w:left="504"/>
      </w:pPr>
      <w:r>
        <w:rPr>
          <w:b w:val="0"/>
          <w:i/>
        </w:rPr>
        <w:t>Почечная недостаточность при множественной миеломе — показание к немедленному началу химиотерапии в специализированном гематологическом стационаре, так как улучшение функции почек возможно только при редукции опухоли. При необходимости химиотерапию следует проводить одновременно с гемодиализом или перитонеальным диализом.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Индукционную химиотерапию следует проводить в стационаре больным множественной миеломой и почечной недостаточностью,</w:t>
        <w:br/>
        <w:br/>
        <w:t>у которых:</w:t>
        <w:br/>
        <w:br/>
        <w:t>* СКФ менее 50 мл/мин и возраст старше 60 лет</w:t>
        <w:br/>
        <w:br/>
        <w:t>* СКФ менее 30 мл/мин;</w:t>
        <w:br/>
        <w:br/>
        <w:t>* тяжелые сопутствующие заболевания</w:t>
        <w:br/>
        <w:br/>
        <w:t>* тяжелое общее состояние</w:t>
        <w:br/>
        <w:br/>
      </w:r>
      <w:hyperlink r:id="rId29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3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 выявлении ММ или подозрении на него в ходе оказания скорой медицинской помощи пациента переводят или направляют в медицинские организации, оказывающие медицинскую помощь пациентам с гематологическими заболеваниями, для определения тактики ведения и необходимости применения дополнительно других методов специализированного противоопухолевого лечения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Основной целью лечения множественной миеломы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увеличение скорости клубочковой фильтрации на 30%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предупреждение развития обструкции мочевых путей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снижение секреции моноклонального парапротеина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резорбция амилоидных фибрилл в пораженных почках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снижение секреции моноклонального парапротеина</w:t>
      </w:r>
    </w:p>
    <w:p>
      <w:pPr>
        <w:ind w:left="504"/>
      </w:pPr>
      <w:r>
        <w:rPr>
          <w:b w:val="0"/>
          <w:i/>
        </w:rPr>
        <w:t>Основная цель лечения - уменьшить секрецию моноклонального парапротеина, что часто улучшает или стабилизирует функцию почек. В лечении множественной миеломы с почечной недостаточностью следует использовать режимы химиотерапии, которые позволяют достигнуть быстрого и максимального гематологического ответа. Почечная недостаточность, в том числе диализзависимая, не является противопоказанием к выполнению в последующем высокодозной химиотерапии с трансплантацией аутологичных стволовых клеток</w:t>
        <w:br/>
        <w:br/>
        <w:t>Клинические рекомендации «Лечение и диагностика миеломной нефропатии». Научное Общество нефрологов России 2014.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Оценка эффекта по уровню моноклонального белка в сыворотке крови и моче применима для пациентов с «измеряемой» болезнью. Заболевание считают «измеряемым» при концентрации М-протеина в сыворотке ≥10 г/л или в суточной моче ≥200 г.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Терапией первой линии больных миеломной нефропатией с почечной недостаточностью являются трехкомпонентные программы, содержащие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бортезомиб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азатиоприн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такролимус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метотрексат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бортезомиб</w:t>
      </w:r>
    </w:p>
    <w:p>
      <w:pPr>
        <w:ind w:left="504"/>
      </w:pPr>
      <w:r>
        <w:rPr>
          <w:b w:val="0"/>
          <w:i/>
        </w:rPr>
        <w:t>Терапией первой линии больных миеломной нефропатией с почечной недостаточностью (ПН) являются трехкомпонентные программы VCD (бортезомиб, циклофосфамид, дексаметазон) или PAD (бортезомиб, адриабластин, дексаметазон). Дозы препаратов, используемых в этих программах, не редуцируются при ПН, т.о., режим лечения не отличается от протокола химиотерапии для больных без ПН. Больным в возрасте менее 65 лет при достижении хорошего гематологического ответа, а также при отсутствии тяжелых сопутствующих заболеваний показано выполнение ауто-ТСКК.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Пациентам с впервые выявленной ММ в возрасте до 65 лет, а также пациентам 65−70 лет с хорошим соматическим статусом без тяжелых сопутствующих заболеваний, в качестве индукционной терапии рекомендуется применять один из следующих режимов терапии:</w:t>
        <w:br/>
        <w:br/>
        <w:t>Бортезомиб*/циклофосфамид/дексаметазон* (VCD)</w:t>
        <w:br/>
        <w:br/>
        <w:t>Бортезомиб*/доксорубицин/дексаметазон* (PAD)</w:t>
        <w:br/>
        <w:br/>
        <w:t>Бортезомиб*/дексаметазон* (VD).</w:t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(4)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коррекции гиперкальцемии при множественной миеломе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кальцитриол, альфакальцидол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срочную паратиреоидэктомию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кальцитонин, бисфосфонаты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инфузии глюконата кальция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кальцитонин, бисфосфонаты</w:t>
      </w:r>
    </w:p>
    <w:p>
      <w:pPr>
        <w:ind w:left="504"/>
      </w:pPr>
      <w:r>
        <w:rPr>
          <w:b w:val="0"/>
          <w:i/>
        </w:rPr>
        <w:t>Для коррекции гиперкальциемии используют кальцитонин, бисфосфонаты, показано быстрое начало химиотерапии. При диализ-зависимой почечной недостаточности гемодиализ проводят с бескальциевым концентратом диализного раствора.</w:t>
        <w:br/>
        <w:br/>
        <w:t>Клинические рекомендации «Лечение и диагностика миеломной нефропатии». Научное Общество нефрологов России 2014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Типичными признаками миеломной нефропатии в биоптате почки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«проволочные петли»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клеточные полулуния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слепки канальцев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гиалиноз артериол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слепки канальцев</w:t>
      </w:r>
    </w:p>
    <w:p>
      <w:pPr>
        <w:ind w:left="504"/>
      </w:pPr>
      <w:r>
        <w:rPr>
          <w:b w:val="0"/>
          <w:i/>
        </w:rPr>
        <w:t>Морфологические критерии миеломной нефропатии</w:t>
        <w:br/>
        <w:br/>
        <w:t>* На светооптическом уровне - при окраске гематоксилин-эозином выявляют большие, плотные, окрашиваемые в розовый цвет, слепки канальцев с характерной многослойной структурой. Цилиндры окружены эпителиальными клетками, лимфоцитами, нейтрофилами, гигантскими клетками моноцитарной или макрофагальной природы, часто с включениями белковых фрагментов. Характерна атрофия канальцев, фиброз интерстиция. Поражение клубочков не характерно. Важно, что цилиндры при миеломной нефропатии негативны при PAS окрашивании.</w:t>
        <w:br/>
        <w:br/>
        <w:t>* При иммуногистохимическом или иммунофлуоресцентном исследовании в цилиндрах обнаруживают, в зависимости от типа секреции, фиксацию легких цепей каппа или лямбда типа.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(2)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37889/?anchor=list_item_ms8v02#list_item_ms8v02" TargetMode="External"/><Relationship Id="rId10" Type="http://schemas.openxmlformats.org/officeDocument/2006/relationships/hyperlink" Target="https://library.mededtech.ru/rest/documents/ISBN9785970411742/?anchor=paragraph_4u288b#paragraph_4u288b" TargetMode="External"/><Relationship Id="rId11" Type="http://schemas.openxmlformats.org/officeDocument/2006/relationships/hyperlink" Target="https://library.mededtech.ru/rest/documents/ISBN9785970437889/?anchor=paragraph_52lip3#paragraph_52lip3" TargetMode="External"/><Relationship Id="rId12" Type="http://schemas.openxmlformats.org/officeDocument/2006/relationships/hyperlink" Target="https://library.mededtech.ru/rest/documents/144_2/" TargetMode="External"/><Relationship Id="rId13" Type="http://schemas.openxmlformats.org/officeDocument/2006/relationships/hyperlink" Target="https://library.mededtech.ru/rest/documents/144_2/#list_item_0vej7l" TargetMode="External"/><Relationship Id="rId14" Type="http://schemas.openxmlformats.org/officeDocument/2006/relationships/hyperlink" Target="https://library.mededtech.ru/rest/documents/ISBN9785970411742/?anchor=paragraph_7h56ld#paragraph_7h56ld" TargetMode="External"/><Relationship Id="rId15" Type="http://schemas.openxmlformats.org/officeDocument/2006/relationships/hyperlink" Target="https://library.mededtech.ru/rest/documents/ISBN9785970411742/?anchor=paragraph_kao7nr#paragraph_kao7nr" TargetMode="External"/><Relationship Id="rId16" Type="http://schemas.openxmlformats.org/officeDocument/2006/relationships/hyperlink" Target="https://library.mededtech.ru/rest/documents/ISBN9785970411742/?anchor=paragraph_rn28l7#paragraph_rn28l7" TargetMode="External"/><Relationship Id="rId17" Type="http://schemas.openxmlformats.org/officeDocument/2006/relationships/hyperlink" Target="https://library.mededtech.ru/rest/documents/144_2/#list_item_loqjaq" TargetMode="External"/><Relationship Id="rId18" Type="http://schemas.openxmlformats.org/officeDocument/2006/relationships/hyperlink" Target="https://library.mededtech.ru/rest/documents/144_2/#list_item_hfrcmo" TargetMode="External"/><Relationship Id="rId19" Type="http://schemas.openxmlformats.org/officeDocument/2006/relationships/hyperlink" Target="https://library.mededtech.ru/rest/documents/144_2/#list_item_tf5ptl" TargetMode="External"/><Relationship Id="rId20" Type="http://schemas.openxmlformats.org/officeDocument/2006/relationships/hyperlink" Target="https://library.mededtech.ru/rest/documents/144_2/#list_item_epu4uo" TargetMode="External"/><Relationship Id="rId21" Type="http://schemas.openxmlformats.org/officeDocument/2006/relationships/hyperlink" Target="https://library.mededtech.ru/rest/documents/144_2/#paragraph_5cuf41" TargetMode="External"/><Relationship Id="rId22" Type="http://schemas.openxmlformats.org/officeDocument/2006/relationships/hyperlink" Target="https://library.mededtech.ru/rest/documents/144_2/#paragraph_9v979n" TargetMode="External"/><Relationship Id="rId23" Type="http://schemas.openxmlformats.org/officeDocument/2006/relationships/hyperlink" Target="https://library.mededtech.ru/rest/documents/nonr_28/" TargetMode="External"/><Relationship Id="rId24" Type="http://schemas.openxmlformats.org/officeDocument/2006/relationships/hyperlink" Target="https://library.mededtech.ru/rest/documents/nonr_28/#list_item_0nub6" TargetMode="External"/><Relationship Id="rId25" Type="http://schemas.openxmlformats.org/officeDocument/2006/relationships/hyperlink" Target="https://library.mededtech.ru/rest/documents/nonr_28/#list_item_d63rv" TargetMode="External"/><Relationship Id="rId26" Type="http://schemas.openxmlformats.org/officeDocument/2006/relationships/hyperlink" Target="https://library.mededtech.ru/rest/documents/nonr_28/#paragraph_5mo74" TargetMode="External"/><Relationship Id="rId27" Type="http://schemas.openxmlformats.org/officeDocument/2006/relationships/hyperlink" Target="https://library.mededtech.ru/rest/documents/nonr_28/#paragraph_52iqa" TargetMode="External"/><Relationship Id="rId28" Type="http://schemas.openxmlformats.org/officeDocument/2006/relationships/hyperlink" Target="https://library.mededtech.ru/rest/documents/nonr_28/#paragraph_51lh9" TargetMode="External"/><Relationship Id="rId29" Type="http://schemas.openxmlformats.org/officeDocument/2006/relationships/hyperlink" Target="https://library.mededtech.ru/rest/documents/nonr_28/#list_item_sa2ir" TargetMode="External"/><Relationship Id="rId30" Type="http://schemas.openxmlformats.org/officeDocument/2006/relationships/hyperlink" Target="https://library.mededtech.ru/rest/documents/ISBN9785970411742/?anchor=paragraph_gr44mp#paragraph_gr44mp" TargetMode="External"/><Relationship Id="rId31" Type="http://schemas.openxmlformats.org/officeDocument/2006/relationships/hyperlink" Target="https://library.mededtech.ru/rest/documents/144_2/#paragraph_eu4n3n" TargetMode="External"/><Relationship Id="rId32" Type="http://schemas.openxmlformats.org/officeDocument/2006/relationships/hyperlink" Target="https://library.mededtech.ru/rest/documents/144_2/#paragraph_o4mh7b" TargetMode="External"/><Relationship Id="rId33" Type="http://schemas.openxmlformats.org/officeDocument/2006/relationships/hyperlink" Target="https://library.mededtech.ru/rest/documents/nonr_28/#paragraph_4f1b1" TargetMode="External"/><Relationship Id="rId34" Type="http://schemas.openxmlformats.org/officeDocument/2006/relationships/hyperlink" Target="https://library.mededtech.ru/rest/documents/Mnozhestvennaya-mieloma/#list_item_k2rve9" TargetMode="External"/><Relationship Id="rId35" Type="http://schemas.openxmlformats.org/officeDocument/2006/relationships/hyperlink" Target="https://library.mededtech.ru/rest/documents/Mnozhestvennaya-mieloma/#list_item_ni6l22" TargetMode="External"/><Relationship Id="rId36" Type="http://schemas.openxmlformats.org/officeDocument/2006/relationships/hyperlink" Target="https://library.mededtech.ru/rest/documents/Mnozhestvennaya-mieloma/#list_item_7n4vu0" TargetMode="External"/><Relationship Id="rId37" Type="http://schemas.openxmlformats.org/officeDocument/2006/relationships/hyperlink" Target="https://library.mededtech.ru/rest/documents/Mnozhestvennaya-mieloma/#list_item_3cvs2t" TargetMode="External"/><Relationship Id="rId38" Type="http://schemas.openxmlformats.org/officeDocument/2006/relationships/hyperlink" Target="https://library.mededtech.ru/rest/documents/no%20nr_28/#paragraph_d54g7" TargetMode="External"/><Relationship Id="rId39" Type="http://schemas.openxmlformats.org/officeDocument/2006/relationships/hyperlink" Target="https://library.mededtech.ru/rest/documents/nonr_28/#list_item_drsmq" TargetMode="External"/><Relationship Id="rId40" Type="http://schemas.openxmlformats.org/officeDocument/2006/relationships/hyperlink" Target="https://library.mededtech.ru/rest/documents/nonr_28/#list_item_c2rf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